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BD" w:rsidRPr="009355BD" w:rsidRDefault="009355BD" w:rsidP="009355BD">
      <w:pPr>
        <w:spacing w:after="0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9355BD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355BD" w:rsidRPr="009355BD" w:rsidRDefault="009355BD" w:rsidP="009355BD">
      <w:pPr>
        <w:spacing w:after="0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9355BD">
        <w:rPr>
          <w:rFonts w:ascii="Times New Roman" w:hAnsi="Times New Roman" w:cs="Times New Roman"/>
          <w:sz w:val="28"/>
          <w:szCs w:val="28"/>
          <w:lang w:val="uk-UA"/>
        </w:rPr>
        <w:t xml:space="preserve">рішення обласної ради </w:t>
      </w:r>
    </w:p>
    <w:p w:rsidR="00E21A13" w:rsidRPr="009355BD" w:rsidRDefault="009355BD" w:rsidP="009355BD">
      <w:pPr>
        <w:spacing w:after="0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 w:rsidRPr="009355BD">
        <w:rPr>
          <w:rFonts w:ascii="Times New Roman" w:hAnsi="Times New Roman" w:cs="Times New Roman"/>
          <w:sz w:val="28"/>
          <w:szCs w:val="28"/>
          <w:lang w:val="uk-UA"/>
        </w:rPr>
        <w:t>№ 799 від 12.03.2019</w:t>
      </w:r>
    </w:p>
    <w:p w:rsidR="009355BD" w:rsidRDefault="009355BD" w:rsidP="00F112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3E3D09" w:rsidRPr="00FD1F40" w:rsidRDefault="003E3D09" w:rsidP="00F11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21A13" w:rsidRPr="00FD1F40" w:rsidRDefault="00E21A13" w:rsidP="00F112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B77FC" w:rsidRPr="00FD1F40" w:rsidRDefault="00842BEA" w:rsidP="00F11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42BEA" w:rsidRPr="00FD1F40" w:rsidRDefault="00842BEA" w:rsidP="00F11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оцінки корупційних ризиків</w:t>
      </w:r>
    </w:p>
    <w:p w:rsidR="00842BEA" w:rsidRPr="00FD1F40" w:rsidRDefault="00842BEA" w:rsidP="00F11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>у діяльності Львівської обласної ради</w:t>
      </w:r>
    </w:p>
    <w:p w:rsidR="00A6625F" w:rsidRPr="00FD1F40" w:rsidRDefault="00A6625F" w:rsidP="00F112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C4A" w:rsidRPr="00FD1F40" w:rsidRDefault="00A6625F" w:rsidP="00D84C4A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На  виконання рішення обласної ради від 15.05.2018</w:t>
      </w:r>
      <w:r w:rsidR="00E21A13"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695 «Про проведення оцінки корупційних ризиків у Львівській обласній раді»</w:t>
      </w:r>
      <w:r w:rsidRPr="00FD1F4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оцінки корупційних ризиків у </w:t>
      </w:r>
      <w:r w:rsidR="00D84C4A" w:rsidRPr="00FD1F40">
        <w:rPr>
          <w:rFonts w:ascii="Times New Roman" w:hAnsi="Times New Roman" w:cs="Times New Roman"/>
          <w:sz w:val="28"/>
          <w:szCs w:val="28"/>
          <w:lang w:val="uk-UA"/>
        </w:rPr>
        <w:t>Львівській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C4A" w:rsidRPr="00FD1F40">
        <w:rPr>
          <w:rFonts w:ascii="Times New Roman" w:hAnsi="Times New Roman" w:cs="Times New Roman"/>
          <w:sz w:val="28"/>
          <w:szCs w:val="28"/>
          <w:lang w:val="uk-UA"/>
        </w:rPr>
        <w:t>обласній раді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F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(далі 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1F40">
        <w:rPr>
          <w:rFonts w:ascii="Times New Roman" w:hAnsi="Times New Roman" w:cs="Times New Roman"/>
          <w:sz w:val="28"/>
          <w:szCs w:val="28"/>
          <w:lang w:val="uk-UA" w:eastAsia="uk-UA"/>
        </w:rPr>
        <w:t>Комісія)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оцінку корупційних ризиків у діял</w:t>
      </w:r>
      <w:r w:rsidR="00FD1F40" w:rsidRPr="00FD1F40">
        <w:rPr>
          <w:rFonts w:ascii="Times New Roman" w:hAnsi="Times New Roman" w:cs="Times New Roman"/>
          <w:sz w:val="28"/>
          <w:szCs w:val="28"/>
          <w:lang w:val="uk-UA"/>
        </w:rPr>
        <w:t>ьності Львівської обласної ради.</w:t>
      </w:r>
    </w:p>
    <w:p w:rsidR="00A83E27" w:rsidRPr="00FD1F40" w:rsidRDefault="00D84C4A" w:rsidP="00D84C4A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До складу Комісії залучено (за згодою) представника громадськості, яким було запропоновано можливі корупційні ризики у діяльності обласної ради та захо</w:t>
      </w:r>
      <w:r w:rsidR="00196495" w:rsidRPr="00FD1F40">
        <w:rPr>
          <w:rFonts w:ascii="Times New Roman" w:hAnsi="Times New Roman" w:cs="Times New Roman"/>
          <w:sz w:val="28"/>
          <w:szCs w:val="28"/>
          <w:lang w:val="uk-UA"/>
        </w:rPr>
        <w:t>ди з їх усунення (мінімізації). Зазначені пропозиції враховано Комісією при оцінці корупційних ризиків у діяльності Львівської обласної ради та відображено у звіті.</w:t>
      </w:r>
    </w:p>
    <w:p w:rsidR="00D84C4A" w:rsidRPr="00FD1F40" w:rsidRDefault="00D84C4A" w:rsidP="00D84C4A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№ 126, зареєстрованої в Міністерстві юстиції України 28.12.2016 за № 1718/29848, комісією з оцінки корупційних ризиків у Львівській обласній раді ідентифіковано корупційні ризики у Львівській обласній раді, здійснено їх опис та проведено оцінку.</w:t>
      </w:r>
    </w:p>
    <w:p w:rsidR="00952584" w:rsidRPr="00FD1F40" w:rsidRDefault="00952584" w:rsidP="00E21A13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При ідентифікації корупційних ризиків у діяльності обласної ради здійснювалися вивчення та аналіз організаційної структури обласної ради, положень про структурні підрозділи виконавчого апарату обласної ради, системи внутрішнього контролю, управління персоналом, </w:t>
      </w:r>
      <w:r w:rsidR="00E21A13" w:rsidRPr="00FD1F40">
        <w:rPr>
          <w:rFonts w:ascii="Times New Roman" w:hAnsi="Times New Roman" w:cs="Times New Roman"/>
          <w:sz w:val="28"/>
          <w:szCs w:val="28"/>
          <w:lang w:val="uk-UA"/>
        </w:rPr>
        <w:t>проведення процедур закупівель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>, дотримання вимог, обмежень, заборон, установлених Законом України «Про запобігання корупції», інші питання, що виникають в результаті діяльності обласної ради.</w:t>
      </w:r>
    </w:p>
    <w:p w:rsidR="00952584" w:rsidRPr="00FD1F40" w:rsidRDefault="00952584" w:rsidP="00E21A13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Джерелами отримання інформації для ідентифікації корупційних ризиків були нормативно-правові акти, рішення обласної ради, розпорядження голови обласної ради, Положення про структурні підрозділи, посадові інструкції працівників, офіційний веб-сайт обласної ради, інші документи та інформація.</w:t>
      </w:r>
    </w:p>
    <w:p w:rsidR="00952584" w:rsidRPr="00FD1F40" w:rsidRDefault="00952584" w:rsidP="00E21A13">
      <w:pPr>
        <w:shd w:val="clear" w:color="auto" w:fill="FFFFFF"/>
        <w:tabs>
          <w:tab w:val="left" w:pos="4111"/>
          <w:tab w:val="left" w:pos="4678"/>
        </w:tabs>
        <w:spacing w:after="0"/>
        <w:ind w:left="5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lastRenderedPageBreak/>
        <w:t>З урахуванням повноважень, завдань, функцій, які передбачені у діяльності обласної ради, Комісія ідентифікувала та оцінила корупційні ризики, а саме:</w:t>
      </w:r>
    </w:p>
    <w:p w:rsidR="00BF320C" w:rsidRPr="00FD1F40" w:rsidRDefault="00BF320C" w:rsidP="00BF320C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 з боку посадових осіб або інших осіб з метою сприяння прийняттю на службу в органах місцевого самоврядування осіб, в тому числі близьких, неповідомлення членом конкурсної комісії про конфлікт інтересів.</w:t>
      </w:r>
    </w:p>
    <w:p w:rsidR="005B1F1F" w:rsidRPr="00FD1F40" w:rsidRDefault="00E21A13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F1F"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конкурсної комісії.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Прийняття на посади осіб, які не відповідають встановленим вимогам, або тих, які подали недостовірні відомості у зв’язку відсутністю законодавчого обов’язку проведення спеціальної перевірки.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Дискреційні повноваження щодо затвердження та внесення  змін до штатного розпису Львівської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Ймовірність впливу зацікавлених осіб та /або депутатів обласної ради  на представ</w:t>
      </w:r>
      <w:r w:rsidR="00E21A13"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ників Львівської обласної ради 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>в суді під час підготовки документів або безпосередньо представництва інтересів Львівської обласної ради у суді.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під час опрацювання запитів на публічну інформацію, звернень громадян тощо.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Вплив під час прийняття та оформлення документів щодо нагородження державними та урядовими нагородами, нагородами Львівської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Неналежна організація р</w:t>
      </w:r>
      <w:r w:rsidR="00FD4F09" w:rsidRPr="00FD1F40">
        <w:rPr>
          <w:rFonts w:ascii="Times New Roman" w:hAnsi="Times New Roman" w:cs="Times New Roman"/>
          <w:sz w:val="28"/>
          <w:szCs w:val="28"/>
          <w:lang w:val="uk-UA"/>
        </w:rPr>
        <w:t>оботи ведення кадрових питань (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>встановлення рангу, доплат, премій, відпусток).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Дискреційний порядок встановлення надбавок та премій працівникам виконавчого апарату.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належного контролю, що призводить до штучного заниження характеристик матеріальних ресурсів з метою їх подальшого списання або зміни.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процедури замовлення матеріальних цінностей структурними підрозділами обласної ради, що призводить до умисного завищення обсягів замовлення матеріальних цінностей з метою використання надлишків в особистих цілях.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контролю  за строками та  нарахуванням заробітної плати. 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під час висвітлення інформації про діяльність Львівської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контролю за вхідною кореспонденцією та її реєстрацією.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Дискреційні повноваження щодо визначення постачальників товарів, робіт та послуг при здійсненні допорогових закупівель.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Поділ предмета закупівлі на частини або зниження його вартості для уникнення проведення закупівлі </w:t>
      </w: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Prozzoro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Неналежне здійснення контролю за виконанням договорів постачальниками товару, робіт, послуг .</w:t>
      </w:r>
    </w:p>
    <w:p w:rsidR="005B1F1F" w:rsidRPr="00FD1F40" w:rsidRDefault="00BF320C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F1F" w:rsidRPr="00FD1F40">
        <w:rPr>
          <w:rFonts w:ascii="Times New Roman" w:hAnsi="Times New Roman" w:cs="Times New Roman"/>
          <w:sz w:val="28"/>
          <w:szCs w:val="28"/>
          <w:lang w:val="uk-UA"/>
        </w:rPr>
        <w:t>посадових осіб, які входять до складу тендерної комісії.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підготовкою тендерної документації.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належного контролю за проведенням процедур закупівель у обласній раді.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Затягування строків розгляду документів щодо надання дозволів та/або погоджень, недостатня регламентація підстав для відмови.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Неврахування  депутатами під час голосування зауважень юридичного відділу.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відсутністю контролю за  видатками  управління майном спільної власності Львівської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недостатньою відкритістю, прозорістю діяльності управління майном спільної власності Львівської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Неналежне здійснення контролю за діяльністю обласних комунальних закладів.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Недостатній рівень знань працівників виконавчого апарату обласної ради норм антикорупційного та спеціального законодавства, що стосуються подання декларації, врегулювання конфлікту інтересів, повідомлення про зміни в майновому стані.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(недостатність)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визначеної процедури опрацювання повідомлень осіб, які надають допомогу в запобіганні і протидії корупції (викривачі) та уповноважених осіб відповідальних за це.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Ризики пов’язані з недостатнім контролем </w:t>
      </w:r>
      <w:r w:rsidR="001525D6" w:rsidRPr="00FD1F40">
        <w:rPr>
          <w:rFonts w:ascii="Times New Roman" w:hAnsi="Times New Roman" w:cs="Times New Roman"/>
          <w:sz w:val="28"/>
          <w:szCs w:val="28"/>
          <w:lang w:val="uk-UA"/>
        </w:rPr>
        <w:t>за антикорупційною діяльні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>стю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захищених від витоку інформації каналів для повідомлень про корупцію.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Ризики пов’язані з </w:t>
      </w: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недоброчесністю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обласної ради при здійсненні депутатських повноважень.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помічників-консультантів депутата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висвітленням ЗМІ інформації щодо діяльності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незаконним втручанням органів влади  в діяльність обласної ради.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Відсутність належного контролю за використанням фінансових та матеріальних ресурсів, перерахунком коштів.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використанням бюджетних коштів.</w:t>
      </w:r>
    </w:p>
    <w:p w:rsidR="005B1F1F" w:rsidRPr="00FD1F40" w:rsidRDefault="005B1F1F" w:rsidP="00E21A1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Ризики пов’язані з </w:t>
      </w:r>
      <w:proofErr w:type="spellStart"/>
      <w:r w:rsidRPr="00FD1F40">
        <w:rPr>
          <w:rFonts w:ascii="Times New Roman" w:hAnsi="Times New Roman" w:cs="Times New Roman"/>
          <w:sz w:val="28"/>
          <w:szCs w:val="28"/>
          <w:lang w:val="uk-UA"/>
        </w:rPr>
        <w:t>недоброчесністю</w:t>
      </w:r>
      <w:proofErr w:type="spellEnd"/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обласної ради при наданні одноразової адресної  допомоги.</w:t>
      </w:r>
    </w:p>
    <w:p w:rsidR="00101993" w:rsidRPr="00FD1F40" w:rsidRDefault="005B1F1F" w:rsidP="0010199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>Ризики пов’язані з орендою та відчуженням комунального майна</w:t>
      </w:r>
      <w:r w:rsidR="00101993" w:rsidRPr="00FD1F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1993" w:rsidRPr="00FD1F40" w:rsidRDefault="00101993" w:rsidP="00101993">
      <w:pPr>
        <w:pStyle w:val="a3"/>
        <w:numPr>
          <w:ilvl w:val="0"/>
          <w:numId w:val="1"/>
        </w:numPr>
        <w:shd w:val="clear" w:color="auto" w:fill="FFFFFF"/>
        <w:tabs>
          <w:tab w:val="left" w:pos="4111"/>
          <w:tab w:val="left" w:pos="4678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 з боку посадових осіб або інших осіб на членів конкурсної комісії під час  проведення конкурсу з відбору кандидатів на зайняття вакантних посад  керівників комунальних закладів, неповідомлення про конфлікт інтересів</w:t>
      </w:r>
      <w:r w:rsidR="00D75F8F" w:rsidRPr="00FD1F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52584" w:rsidRPr="00FD1F40" w:rsidRDefault="00952584" w:rsidP="00E21A13">
      <w:pPr>
        <w:shd w:val="clear" w:color="auto" w:fill="FFFFFF"/>
        <w:tabs>
          <w:tab w:val="left" w:pos="4111"/>
          <w:tab w:val="left" w:pos="4678"/>
        </w:tabs>
        <w:spacing w:after="0"/>
        <w:ind w:left="5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25F" w:rsidRPr="00FD1F40" w:rsidRDefault="00952584" w:rsidP="00E21A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Методології оцінювання корупційних ризиків у діяльності органів влади, за результатами оцінки корупційних ризиків у діяльності обласної ради, підготовлено опис ідентифікованих корупційних ризиків у діяльності </w:t>
      </w:r>
      <w:r w:rsidR="00F11249" w:rsidRPr="00FD1F40">
        <w:rPr>
          <w:rFonts w:ascii="Times New Roman" w:hAnsi="Times New Roman" w:cs="Times New Roman"/>
          <w:sz w:val="28"/>
          <w:szCs w:val="28"/>
          <w:lang w:val="uk-UA"/>
        </w:rPr>
        <w:t xml:space="preserve">Львівської </w:t>
      </w:r>
      <w:r w:rsidRPr="00FD1F40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F11249" w:rsidRPr="00FD1F40">
        <w:rPr>
          <w:rFonts w:ascii="Times New Roman" w:hAnsi="Times New Roman" w:cs="Times New Roman"/>
          <w:sz w:val="28"/>
          <w:szCs w:val="28"/>
          <w:lang w:val="uk-UA"/>
        </w:rPr>
        <w:t>, чинники корупційних ризиків та можливі наслідки корупційного правопорушення чи правопорушення, пов’язаного з корупцією (Додаток 1) та пропозиції щодо заходів із усунення (зменшення) рівня виявлених корупційних ризиків, які викладені у таблиці оцінених корупційних ризиків та заходів щодо їх усунення (Додаток 2).</w:t>
      </w: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обласної ради,</w:t>
      </w: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з оцінки корупційних </w:t>
      </w:r>
    </w:p>
    <w:p w:rsidR="00F11249" w:rsidRPr="00FD1F40" w:rsidRDefault="00F11249" w:rsidP="00E21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F40">
        <w:rPr>
          <w:rFonts w:ascii="Times New Roman" w:hAnsi="Times New Roman" w:cs="Times New Roman"/>
          <w:b/>
          <w:sz w:val="28"/>
          <w:szCs w:val="28"/>
          <w:lang w:val="uk-UA"/>
        </w:rPr>
        <w:t>ризиків у Львівській обласній раді                                      Володимир ГІРНЯК</w:t>
      </w:r>
    </w:p>
    <w:p w:rsidR="00A6625F" w:rsidRPr="00FD1F40" w:rsidRDefault="00A6625F" w:rsidP="00E21A13">
      <w:pPr>
        <w:spacing w:after="0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25F" w:rsidRPr="00FD1F40" w:rsidRDefault="00A6625F" w:rsidP="00F11249">
      <w:pPr>
        <w:spacing w:after="0" w:line="0" w:lineRule="atLeast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25F" w:rsidRPr="00FD1F40" w:rsidRDefault="00A6625F" w:rsidP="00DF39A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BEA" w:rsidRPr="00FD1F40" w:rsidRDefault="00842BEA" w:rsidP="00E21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42BEA" w:rsidRPr="00FD1F40" w:rsidSect="005B7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845A1"/>
    <w:multiLevelType w:val="hybridMultilevel"/>
    <w:tmpl w:val="44200250"/>
    <w:lvl w:ilvl="0" w:tplc="79620A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BEA"/>
    <w:rsid w:val="00101993"/>
    <w:rsid w:val="001525D6"/>
    <w:rsid w:val="00193D7A"/>
    <w:rsid w:val="00196495"/>
    <w:rsid w:val="00387F18"/>
    <w:rsid w:val="003E3C6D"/>
    <w:rsid w:val="003E3D09"/>
    <w:rsid w:val="004E65F6"/>
    <w:rsid w:val="005B1F1F"/>
    <w:rsid w:val="005B77FC"/>
    <w:rsid w:val="00621D66"/>
    <w:rsid w:val="00772CF0"/>
    <w:rsid w:val="00842BEA"/>
    <w:rsid w:val="0086708E"/>
    <w:rsid w:val="008F1A32"/>
    <w:rsid w:val="009355BD"/>
    <w:rsid w:val="00952584"/>
    <w:rsid w:val="00A6625F"/>
    <w:rsid w:val="00A83E27"/>
    <w:rsid w:val="00BF320C"/>
    <w:rsid w:val="00D16298"/>
    <w:rsid w:val="00D75F8F"/>
    <w:rsid w:val="00D84C4A"/>
    <w:rsid w:val="00DF39A6"/>
    <w:rsid w:val="00E21A13"/>
    <w:rsid w:val="00EC6553"/>
    <w:rsid w:val="00F11249"/>
    <w:rsid w:val="00F91394"/>
    <w:rsid w:val="00FD1F40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3B20"/>
  <w15:docId w15:val="{F326E1AF-8269-4F8F-BA48-6FB237B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4674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RePack by Diakov</cp:lastModifiedBy>
  <cp:revision>21</cp:revision>
  <cp:lastPrinted>2019-03-13T15:04:00Z</cp:lastPrinted>
  <dcterms:created xsi:type="dcterms:W3CDTF">2018-12-04T15:54:00Z</dcterms:created>
  <dcterms:modified xsi:type="dcterms:W3CDTF">2019-03-29T07:39:00Z</dcterms:modified>
</cp:coreProperties>
</file>