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9D" w:rsidRDefault="009F699D" w:rsidP="009F699D">
      <w:pPr>
        <w:tabs>
          <w:tab w:val="left" w:pos="5670"/>
        </w:tabs>
        <w:spacing w:line="240" w:lineRule="auto"/>
        <w:ind w:firstLine="5812"/>
        <w:jc w:val="right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ПРОЄКТ</w:t>
      </w:r>
      <w:bookmarkStart w:id="0" w:name="_GoBack"/>
      <w:bookmarkEnd w:id="0"/>
    </w:p>
    <w:p w:rsidR="00F26E48" w:rsidRPr="00310845" w:rsidRDefault="00F26E48" w:rsidP="00F26E48">
      <w:pPr>
        <w:tabs>
          <w:tab w:val="left" w:pos="5670"/>
        </w:tabs>
        <w:spacing w:line="240" w:lineRule="auto"/>
        <w:ind w:firstLine="5812"/>
        <w:rPr>
          <w:rFonts w:eastAsia="Times New Roman" w:cs="Times New Roman"/>
          <w:sz w:val="24"/>
          <w:szCs w:val="24"/>
          <w:lang w:val="ru-RU"/>
        </w:rPr>
      </w:pPr>
      <w:r w:rsidRPr="00310845">
        <w:rPr>
          <w:rFonts w:eastAsia="Times New Roman" w:cs="Times New Roman"/>
          <w:sz w:val="24"/>
          <w:szCs w:val="24"/>
          <w:lang w:val="ru-RU"/>
        </w:rPr>
        <w:t>ЗАТВЕРДЖЕНО</w:t>
      </w:r>
    </w:p>
    <w:p w:rsidR="00F26E48" w:rsidRPr="00310845" w:rsidRDefault="00F26E48" w:rsidP="00F26E48">
      <w:pPr>
        <w:tabs>
          <w:tab w:val="left" w:pos="5670"/>
        </w:tabs>
        <w:spacing w:line="240" w:lineRule="auto"/>
        <w:ind w:firstLine="5812"/>
        <w:rPr>
          <w:rFonts w:eastAsia="Times New Roman" w:cs="Times New Roman"/>
          <w:sz w:val="24"/>
          <w:szCs w:val="24"/>
        </w:rPr>
      </w:pPr>
      <w:r w:rsidRPr="00310845">
        <w:rPr>
          <w:rFonts w:eastAsia="Times New Roman" w:cs="Times New Roman"/>
          <w:sz w:val="24"/>
          <w:szCs w:val="24"/>
        </w:rPr>
        <w:t>рішенням обласної ради</w:t>
      </w:r>
    </w:p>
    <w:p w:rsidR="00F26E48" w:rsidRPr="00310845" w:rsidRDefault="00260A6C" w:rsidP="00F26E48">
      <w:pPr>
        <w:tabs>
          <w:tab w:val="left" w:pos="5670"/>
        </w:tabs>
        <w:spacing w:line="240" w:lineRule="auto"/>
        <w:ind w:firstLine="581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від ________№________</w:t>
      </w:r>
    </w:p>
    <w:p w:rsidR="00F26E48" w:rsidRPr="00310845" w:rsidRDefault="00F26E48" w:rsidP="00F26E48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260A6C" w:rsidRDefault="00260A6C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  <w:bookmarkStart w:id="1" w:name="z1"/>
      <w:bookmarkEnd w:id="1"/>
    </w:p>
    <w:p w:rsidR="00260A6C" w:rsidRDefault="00260A6C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260A6C" w:rsidRDefault="00260A6C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26E48" w:rsidRPr="00B448AF" w:rsidRDefault="00F26E48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B448AF">
        <w:rPr>
          <w:rFonts w:eastAsia="Times New Roman" w:cs="Times New Roman"/>
          <w:b/>
          <w:szCs w:val="28"/>
        </w:rPr>
        <w:t>ЗВІТ</w:t>
      </w:r>
    </w:p>
    <w:p w:rsidR="00F26E48" w:rsidRPr="00B448AF" w:rsidRDefault="00F26E48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B448AF">
        <w:rPr>
          <w:rFonts w:eastAsia="Times New Roman" w:cs="Times New Roman"/>
          <w:b/>
          <w:szCs w:val="28"/>
        </w:rPr>
        <w:t>за результатами оцінки корупційних ризиків</w:t>
      </w:r>
    </w:p>
    <w:p w:rsidR="00F26E48" w:rsidRPr="00B448AF" w:rsidRDefault="00F26E48" w:rsidP="00F26E48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B448AF">
        <w:rPr>
          <w:rFonts w:eastAsia="Times New Roman" w:cs="Times New Roman"/>
          <w:b/>
          <w:szCs w:val="28"/>
        </w:rPr>
        <w:t>у діяльності Львівської обласної ради</w:t>
      </w:r>
    </w:p>
    <w:p w:rsidR="00F26E48" w:rsidRDefault="00F26E48" w:rsidP="00F26E48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260A6C" w:rsidRPr="00B448AF" w:rsidRDefault="00260A6C" w:rsidP="00F26E48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BF54EE" w:rsidRDefault="00F26E48" w:rsidP="00BF54EE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>На  виконання ріше</w:t>
      </w:r>
      <w:r w:rsidR="00BF54EE">
        <w:rPr>
          <w:rFonts w:eastAsia="Times New Roman" w:cs="Times New Roman"/>
          <w:szCs w:val="28"/>
        </w:rPr>
        <w:t>ння обласної ради від 22.09.2020</w:t>
      </w:r>
      <w:r w:rsidRPr="00B448AF">
        <w:rPr>
          <w:rFonts w:eastAsia="Times New Roman" w:cs="Times New Roman"/>
          <w:szCs w:val="28"/>
        </w:rPr>
        <w:t xml:space="preserve"> № </w:t>
      </w:r>
      <w:r w:rsidR="00BF54EE">
        <w:rPr>
          <w:rFonts w:eastAsia="Times New Roman" w:cs="Times New Roman"/>
          <w:szCs w:val="28"/>
        </w:rPr>
        <w:t>1071</w:t>
      </w:r>
      <w:r w:rsidRPr="00B448AF">
        <w:rPr>
          <w:rFonts w:eastAsia="Times New Roman" w:cs="Times New Roman"/>
          <w:szCs w:val="28"/>
        </w:rPr>
        <w:t xml:space="preserve"> «Про проведення оцінки корупційних ризиків у Львівській обласній раді»</w:t>
      </w:r>
      <w:r w:rsidRPr="00B448AF">
        <w:rPr>
          <w:rFonts w:eastAsia="Times New Roman" w:cs="Times New Roman"/>
          <w:spacing w:val="-1"/>
          <w:szCs w:val="28"/>
        </w:rPr>
        <w:t xml:space="preserve"> </w:t>
      </w:r>
      <w:r w:rsidRPr="00B448AF">
        <w:rPr>
          <w:rFonts w:eastAsia="Times New Roman" w:cs="Times New Roman"/>
          <w:szCs w:val="28"/>
        </w:rPr>
        <w:t xml:space="preserve"> комісією з оцінки корупційних ризиків у Львівській обласній раді </w:t>
      </w:r>
      <w:r w:rsidRPr="00B448AF">
        <w:rPr>
          <w:rFonts w:eastAsia="Times New Roman" w:cs="Times New Roman"/>
          <w:szCs w:val="28"/>
          <w:lang w:eastAsia="uk-UA"/>
        </w:rPr>
        <w:t xml:space="preserve"> (далі </w:t>
      </w:r>
      <w:r w:rsidRPr="00B448AF">
        <w:rPr>
          <w:rFonts w:eastAsia="Times New Roman" w:cs="Times New Roman"/>
          <w:szCs w:val="28"/>
        </w:rPr>
        <w:t xml:space="preserve">- </w:t>
      </w:r>
      <w:r w:rsidRPr="00B448AF">
        <w:rPr>
          <w:rFonts w:eastAsia="Times New Roman" w:cs="Times New Roman"/>
          <w:szCs w:val="28"/>
          <w:lang w:eastAsia="uk-UA"/>
        </w:rPr>
        <w:t>Комісія)</w:t>
      </w:r>
      <w:r w:rsidRPr="00B448AF">
        <w:rPr>
          <w:rFonts w:eastAsia="Times New Roman" w:cs="Times New Roman"/>
          <w:szCs w:val="28"/>
        </w:rPr>
        <w:t xml:space="preserve"> здійснено оцінку корупційних ризиків у діяльності Львівської обласної ради.</w:t>
      </w:r>
    </w:p>
    <w:p w:rsidR="00F26E48" w:rsidRPr="00B448AF" w:rsidRDefault="00F26E48" w:rsidP="00BF54EE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>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зареєстрованої в Міністерстві юстиції України 28.12.2016 за № 1718/29848, комісією з оцінки корупційних ризиків у Львівській обласній раді ідентифіковано корупційні ризики у Львівській обласній раді, здійснено їх опис та проведено оцінку.</w:t>
      </w:r>
    </w:p>
    <w:p w:rsidR="00F26E48" w:rsidRPr="00B448AF" w:rsidRDefault="00F26E48" w:rsidP="00BF54EE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 xml:space="preserve">При ідентифікації корупційних ризиків у діяльності обласної ради здійснювалися вивчення та аналіз організаційної структури обласної ради, положень про структурні підрозділи виконавчого апарату обласної ради, системи внутрішнього контролю, управління персоналом, проведення процедур </w:t>
      </w:r>
      <w:proofErr w:type="spellStart"/>
      <w:r w:rsidRPr="00B448AF">
        <w:rPr>
          <w:rFonts w:eastAsia="Times New Roman" w:cs="Times New Roman"/>
          <w:szCs w:val="28"/>
        </w:rPr>
        <w:t>закупівель</w:t>
      </w:r>
      <w:proofErr w:type="spellEnd"/>
      <w:r w:rsidRPr="00B448AF">
        <w:rPr>
          <w:rFonts w:eastAsia="Times New Roman" w:cs="Times New Roman"/>
          <w:szCs w:val="28"/>
        </w:rPr>
        <w:t>, дотримання вимог, обмежень, заборон, установлених Законом України «Про запобігання корупції», інші питання, що виникають в результаті діяльності обласної ради.</w:t>
      </w:r>
    </w:p>
    <w:p w:rsidR="00F26E48" w:rsidRPr="00B448AF" w:rsidRDefault="00F26E48" w:rsidP="00BF54EE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>Джерелами отримання інформації для ідентифікації корупційних ризиків були нормативно-правові акти, рішення обласної ради, розпорядження голови обласної ради, Положення про структурні підрозділи, посадові інструкції працівників, офіційний веб-сайт обласної ради, інші документи та інформація.</w:t>
      </w:r>
    </w:p>
    <w:p w:rsidR="00A101AF" w:rsidRDefault="00F26E48" w:rsidP="00A101AF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>З урахуванням повноважень, завдань, функцій, які передбачені у діяльності обласної ради, Комісія ідентифікувала та оцінила корупційні ризики, а саме:</w:t>
      </w:r>
    </w:p>
    <w:p w:rsidR="00D81C38" w:rsidRPr="00A101AF" w:rsidRDefault="00D81C38" w:rsidP="00A101AF">
      <w:pPr>
        <w:shd w:val="clear" w:color="auto" w:fill="FFFFFF"/>
        <w:tabs>
          <w:tab w:val="left" w:pos="4111"/>
          <w:tab w:val="left" w:pos="4678"/>
        </w:tabs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1. Вплив з боку посадових осіб або інших осіб з метою сприяння прийняттю на службу в органах місцевого самоврядува</w:t>
      </w:r>
      <w:r>
        <w:rPr>
          <w:rFonts w:eastAsia="Times New Roman" w:cs="Times New Roman"/>
          <w:color w:val="000000"/>
          <w:szCs w:val="28"/>
        </w:rPr>
        <w:t>ння осіб, у тому числі близьких.</w:t>
      </w:r>
    </w:p>
    <w:p w:rsidR="00A101AF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>
        <w:rPr>
          <w:rFonts w:eastAsia="Times New Roman" w:cs="Times New Roman"/>
          <w:color w:val="000000"/>
          <w:szCs w:val="28"/>
        </w:rPr>
        <w:t xml:space="preserve">   членів конкурсної комісії.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3. 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4. Дискреційні повноваження щодо затвердження та внесення  змін до штатного розпису Львівської обласної ради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561CF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5. Імовірність впливу зацікавлених осіб та /або депутатів обласної ради  на представників Львівської обласної ради  в суді під час підготовки документів або безпосередньо представництва інтересів </w:t>
      </w:r>
      <w:r>
        <w:rPr>
          <w:rFonts w:eastAsia="Times New Roman" w:cs="Times New Roman"/>
          <w:color w:val="000000"/>
          <w:szCs w:val="28"/>
        </w:rPr>
        <w:t>Львівської обласної ради в суді.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lastRenderedPageBreak/>
        <w:t xml:space="preserve">6.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Pr="00D81C38">
        <w:rPr>
          <w:rFonts w:eastAsia="Times New Roman" w:cs="Times New Roman"/>
          <w:color w:val="000000"/>
          <w:szCs w:val="28"/>
        </w:rPr>
        <w:t xml:space="preserve"> посадових осіб під час опрацювання запитів на публічну інформацію, звернень громадян тощо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7. Вплив під час прийняття та оформлення документів щодо нагородження державними та урядовими нагородами, нагородами Львівської обласної ради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8. 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Pr="00D81C38">
        <w:rPr>
          <w:rFonts w:eastAsia="Times New Roman" w:cs="Times New Roman"/>
          <w:color w:val="000000"/>
          <w:szCs w:val="28"/>
        </w:rPr>
        <w:t xml:space="preserve"> посадових осіб під час  організації роботи ведення кадрових питань (встановлення ра</w:t>
      </w:r>
      <w:r>
        <w:rPr>
          <w:rFonts w:eastAsia="Times New Roman" w:cs="Times New Roman"/>
          <w:color w:val="000000"/>
          <w:szCs w:val="28"/>
        </w:rPr>
        <w:t>нгу, доплат, премій, відпусток)</w:t>
      </w:r>
      <w:r w:rsidR="00561CFF"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9.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Pr="00D81C38">
        <w:rPr>
          <w:rFonts w:eastAsia="Times New Roman" w:cs="Times New Roman"/>
          <w:color w:val="000000"/>
          <w:szCs w:val="28"/>
        </w:rPr>
        <w:t xml:space="preserve"> посадових осіб під час висвітлення інформації про діяльність Львівської обласної ради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10. Відсутність контролю за вхідною ко</w:t>
      </w:r>
      <w:r>
        <w:rPr>
          <w:rFonts w:eastAsia="Times New Roman" w:cs="Times New Roman"/>
          <w:color w:val="000000"/>
          <w:szCs w:val="28"/>
        </w:rPr>
        <w:t>респонденцією та її реєстрацією.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11. Поділ предмета закупівлі на частини або зниження його вартості для уникнення проведення закупівлі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Prozzoro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D81C38" w:rsidRPr="006D4E64" w:rsidRDefault="00D81C38" w:rsidP="006D4E64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12. </w:t>
      </w:r>
      <w:proofErr w:type="spellStart"/>
      <w:r w:rsidR="006D4E64" w:rsidRPr="006D4E64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="006D4E64" w:rsidRPr="006D4E64">
        <w:rPr>
          <w:rFonts w:eastAsia="Times New Roman" w:cs="Times New Roman"/>
          <w:color w:val="000000"/>
          <w:szCs w:val="28"/>
        </w:rPr>
        <w:t xml:space="preserve"> посадових осіб, які входять до складу тендерного комітету та/або є уповноваженою особою з питань </w:t>
      </w:r>
      <w:proofErr w:type="spellStart"/>
      <w:r w:rsidR="006D4E64" w:rsidRPr="006D4E64">
        <w:rPr>
          <w:rFonts w:eastAsia="Times New Roman" w:cs="Times New Roman"/>
          <w:color w:val="000000"/>
          <w:szCs w:val="28"/>
        </w:rPr>
        <w:t>закупівель</w:t>
      </w:r>
      <w:proofErr w:type="spellEnd"/>
      <w:r w:rsidR="006D4E64"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13. Відсутність належного контролю за проведенням проц</w:t>
      </w:r>
      <w:r>
        <w:rPr>
          <w:rFonts w:eastAsia="Times New Roman" w:cs="Times New Roman"/>
          <w:color w:val="000000"/>
          <w:szCs w:val="28"/>
        </w:rPr>
        <w:t xml:space="preserve">едур </w:t>
      </w:r>
      <w:proofErr w:type="spellStart"/>
      <w:r>
        <w:rPr>
          <w:rFonts w:eastAsia="Times New Roman" w:cs="Times New Roman"/>
          <w:color w:val="000000"/>
          <w:szCs w:val="28"/>
        </w:rPr>
        <w:t>закупівель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в обласній раді.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14. Неврахування  депутатами під час голосуван</w:t>
      </w:r>
      <w:r>
        <w:rPr>
          <w:rFonts w:eastAsia="Times New Roman" w:cs="Times New Roman"/>
          <w:color w:val="000000"/>
          <w:szCs w:val="28"/>
        </w:rPr>
        <w:t>ня зауважень юридичного відділу.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15. Неналежне здійснення контролю за діяльністю обласних комунальних закладів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16. Недостатній рівень знань працівників виконавчого апарату обласної ради норм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17. Відсутність (недостатність) контролю за проведенням спеціальної перевірки стосовно осіб, які претендують на зайняття посад, що передбачають зайняття відповідального або осо</w:t>
      </w:r>
      <w:r>
        <w:rPr>
          <w:rFonts w:eastAsia="Times New Roman" w:cs="Times New Roman"/>
          <w:color w:val="000000"/>
          <w:szCs w:val="28"/>
        </w:rPr>
        <w:t>бливо відповідального становища.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18.  Відсутність (недостатність)  контролю за антикорупційною</w:t>
      </w:r>
      <w:r>
        <w:rPr>
          <w:rFonts w:eastAsia="Times New Roman" w:cs="Times New Roman"/>
          <w:color w:val="000000"/>
          <w:szCs w:val="28"/>
        </w:rPr>
        <w:t xml:space="preserve"> діяльністю обласної ради.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19. 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Pr="00D81C38">
        <w:rPr>
          <w:rFonts w:eastAsia="Times New Roman" w:cs="Times New Roman"/>
          <w:color w:val="000000"/>
          <w:szCs w:val="28"/>
        </w:rPr>
        <w:t xml:space="preserve"> депутатів обласної ради при здійсненні депутатських повноважень</w:t>
      </w:r>
      <w:r>
        <w:rPr>
          <w:rFonts w:eastAsia="Times New Roman" w:cs="Times New Roman"/>
          <w:color w:val="000000"/>
          <w:szCs w:val="28"/>
        </w:rPr>
        <w:t>.</w:t>
      </w:r>
      <w:r w:rsidRPr="00D81C38">
        <w:rPr>
          <w:rFonts w:eastAsia="Times New Roman" w:cs="Times New Roman"/>
          <w:color w:val="000000"/>
          <w:szCs w:val="28"/>
        </w:rPr>
        <w:t xml:space="preserve"> 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20. Приватний інтерес посадових осіб під час вирішення питання щодо використання   бюджетних коштів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326B79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21. </w:t>
      </w:r>
      <w:r w:rsidR="00D81C38" w:rsidRPr="00D81C38">
        <w:rPr>
          <w:rFonts w:eastAsia="Times New Roman" w:cs="Times New Roman"/>
          <w:color w:val="000000"/>
          <w:szCs w:val="28"/>
        </w:rPr>
        <w:t>Приватний інтерес посадових осіб під час вирішення питання пов’язаного з  орендою та відчуженням комунального майна</w:t>
      </w:r>
      <w:r w:rsidR="00D81C38"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22. Вплив з боку посадових осіб або інших осіб на членів конкурсної комісії під час проведення конкурсу з відбору кандидатів на зайняття вакантних посад керівників комунальних закладів</w:t>
      </w:r>
      <w:r>
        <w:rPr>
          <w:rFonts w:eastAsia="Times New Roman" w:cs="Times New Roman"/>
          <w:color w:val="000000"/>
          <w:szCs w:val="28"/>
        </w:rPr>
        <w:t>.</w:t>
      </w:r>
    </w:p>
    <w:p w:rsidR="00D81C38" w:rsidRP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 xml:space="preserve">23. </w:t>
      </w:r>
      <w:proofErr w:type="spellStart"/>
      <w:r w:rsidRPr="00D81C38">
        <w:rPr>
          <w:rFonts w:eastAsia="Times New Roman" w:cs="Times New Roman"/>
          <w:color w:val="000000"/>
          <w:szCs w:val="28"/>
        </w:rPr>
        <w:t>Недоброчесність</w:t>
      </w:r>
      <w:proofErr w:type="spellEnd"/>
      <w:r w:rsidRPr="00D81C38">
        <w:rPr>
          <w:rFonts w:eastAsia="Times New Roman" w:cs="Times New Roman"/>
          <w:color w:val="000000"/>
          <w:szCs w:val="28"/>
        </w:rPr>
        <w:t xml:space="preserve"> посадових осіб, які здійснюють перевірку підприємств, установ, організацій, що перебувають у спільній власності  Львівської обласної ради</w:t>
      </w:r>
      <w:r w:rsidR="00561CFF">
        <w:rPr>
          <w:rFonts w:eastAsia="Times New Roman" w:cs="Times New Roman"/>
          <w:color w:val="000000"/>
          <w:szCs w:val="28"/>
        </w:rPr>
        <w:t>.</w:t>
      </w:r>
    </w:p>
    <w:p w:rsidR="00D81C38" w:rsidRDefault="00D81C38" w:rsidP="00A101AF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D81C38">
        <w:rPr>
          <w:rFonts w:eastAsia="Times New Roman" w:cs="Times New Roman"/>
          <w:color w:val="000000"/>
          <w:szCs w:val="28"/>
        </w:rPr>
        <w:t>24. Відсутність контролю за дотриманням законодавства щодо конфлікту інтересів в діяльності  підприємств, установ, організацій, що перебувають у спільній власності  Львівської обласної ради</w:t>
      </w:r>
      <w:r w:rsidR="00561CFF">
        <w:rPr>
          <w:rFonts w:eastAsia="Times New Roman" w:cs="Times New Roman"/>
          <w:color w:val="000000"/>
          <w:szCs w:val="28"/>
        </w:rPr>
        <w:t>.</w:t>
      </w:r>
    </w:p>
    <w:p w:rsidR="00A44C81" w:rsidRDefault="00F26E48" w:rsidP="00A101AF">
      <w:pPr>
        <w:spacing w:after="200" w:line="240" w:lineRule="auto"/>
        <w:ind w:firstLine="567"/>
        <w:jc w:val="both"/>
        <w:rPr>
          <w:rFonts w:eastAsia="Times New Roman" w:cs="Times New Roman"/>
          <w:szCs w:val="28"/>
        </w:rPr>
      </w:pPr>
      <w:r w:rsidRPr="00B448AF">
        <w:rPr>
          <w:rFonts w:eastAsia="Times New Roman" w:cs="Times New Roman"/>
          <w:szCs w:val="28"/>
        </w:rPr>
        <w:t xml:space="preserve">Враховуючи вимоги Методології оцінювання корупційних ризиків у діяльності органів влади, за результатами оцінки корупційних ризиків у діяльності обласної ради, підготовлено опис ідентифікованих корупційних ризиків у діяльності Львівської обласної ради, чинники корупційних ризиків та </w:t>
      </w:r>
      <w:r w:rsidRPr="00B448AF">
        <w:rPr>
          <w:rFonts w:eastAsia="Times New Roman" w:cs="Times New Roman"/>
          <w:szCs w:val="28"/>
        </w:rPr>
        <w:lastRenderedPageBreak/>
        <w:t xml:space="preserve">можливі наслідки корупційного правопорушення чи правопорушення, пов’язаного з корупцією </w:t>
      </w:r>
      <w:r w:rsidRPr="00A101AF">
        <w:rPr>
          <w:rFonts w:eastAsia="Times New Roman" w:cs="Times New Roman"/>
          <w:color w:val="000000" w:themeColor="text1"/>
          <w:szCs w:val="28"/>
        </w:rPr>
        <w:t>(</w:t>
      </w:r>
      <w:hyperlink w:anchor="z2" w:history="1">
        <w:r w:rsidRPr="00A101AF">
          <w:rPr>
            <w:rFonts w:eastAsia="Times New Roman" w:cs="Times New Roman"/>
            <w:color w:val="000000" w:themeColor="text1"/>
            <w:szCs w:val="28"/>
          </w:rPr>
          <w:t>Додаток 1</w:t>
        </w:r>
      </w:hyperlink>
      <w:r w:rsidRPr="00B448AF">
        <w:rPr>
          <w:rFonts w:eastAsia="Times New Roman" w:cs="Times New Roman"/>
          <w:szCs w:val="28"/>
        </w:rPr>
        <w:t>) та пропозиції щодо заходів із усунення (зменшення) рівня виявлених корупційних ризиків, які викладені у таблиці оцінених корупційних ризиків та заходів щодо їх усунення (</w:t>
      </w:r>
      <w:hyperlink w:anchor="z3" w:history="1">
        <w:r w:rsidRPr="00A101AF">
          <w:rPr>
            <w:rFonts w:eastAsia="Times New Roman" w:cs="Times New Roman"/>
            <w:color w:val="000000" w:themeColor="text1"/>
            <w:szCs w:val="28"/>
          </w:rPr>
          <w:t>Додаток 2</w:t>
        </w:r>
      </w:hyperlink>
      <w:r>
        <w:rPr>
          <w:rFonts w:eastAsia="Times New Roman" w:cs="Times New Roman"/>
          <w:szCs w:val="28"/>
        </w:rPr>
        <w:t>).</w:t>
      </w:r>
    </w:p>
    <w:p w:rsidR="00260A6C" w:rsidRDefault="00260A6C" w:rsidP="00260A6C">
      <w:pPr>
        <w:spacing w:line="240" w:lineRule="auto"/>
        <w:jc w:val="both"/>
        <w:rPr>
          <w:rFonts w:eastAsia="Times New Roman" w:cs="Times New Roman"/>
          <w:szCs w:val="28"/>
        </w:rPr>
      </w:pPr>
    </w:p>
    <w:p w:rsidR="00260A6C" w:rsidRDefault="00260A6C" w:rsidP="00260A6C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Голова комісії з оцінки корупційних </w:t>
      </w:r>
    </w:p>
    <w:p w:rsidR="00260A6C" w:rsidRDefault="00260A6C" w:rsidP="00260A6C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ризиків у Львівській обласній раді,</w:t>
      </w:r>
    </w:p>
    <w:p w:rsidR="00260A6C" w:rsidRDefault="00260A6C" w:rsidP="00260A6C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керуючий справами обласної ради                                                  Валентин ХАРЛОВ</w:t>
      </w:r>
    </w:p>
    <w:p w:rsidR="00A23ACA" w:rsidRDefault="00A23ACA" w:rsidP="00260A6C">
      <w:pPr>
        <w:spacing w:line="240" w:lineRule="auto"/>
        <w:jc w:val="both"/>
        <w:rPr>
          <w:rFonts w:eastAsia="Times New Roman" w:cs="Times New Roman"/>
          <w:szCs w:val="28"/>
        </w:rPr>
      </w:pPr>
    </w:p>
    <w:p w:rsidR="00A23ACA" w:rsidRDefault="00A23ACA" w:rsidP="00260A6C">
      <w:pPr>
        <w:spacing w:line="240" w:lineRule="auto"/>
        <w:jc w:val="both"/>
        <w:rPr>
          <w:rFonts w:eastAsia="Times New Roman" w:cs="Times New Roman"/>
          <w:szCs w:val="28"/>
        </w:rPr>
      </w:pPr>
    </w:p>
    <w:p w:rsidR="00A23ACA" w:rsidRDefault="00A23ACA" w:rsidP="00A23ACA">
      <w:pPr>
        <w:tabs>
          <w:tab w:val="left" w:pos="5670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Уповноважена особа з питань </w:t>
      </w:r>
    </w:p>
    <w:p w:rsidR="00A23ACA" w:rsidRDefault="00A23ACA" w:rsidP="00A23ACA">
      <w:pPr>
        <w:tabs>
          <w:tab w:val="left" w:pos="5670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запобігання та виявлення корупції </w:t>
      </w:r>
    </w:p>
    <w:p w:rsidR="00A23ACA" w:rsidRDefault="00A23ACA" w:rsidP="00A23ACA">
      <w:pPr>
        <w:tabs>
          <w:tab w:val="left" w:pos="5670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 Львівській обласній раді,</w:t>
      </w:r>
    </w:p>
    <w:p w:rsidR="00A23ACA" w:rsidRDefault="00A23ACA" w:rsidP="00A23ACA">
      <w:pPr>
        <w:tabs>
          <w:tab w:val="left" w:pos="5670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радник юридичного відділу                                                        Соломія ГАТАЛЯК</w:t>
      </w:r>
    </w:p>
    <w:p w:rsidR="00A23ACA" w:rsidRDefault="00A23ACA" w:rsidP="00260A6C">
      <w:pPr>
        <w:spacing w:line="240" w:lineRule="auto"/>
        <w:jc w:val="both"/>
        <w:rPr>
          <w:rFonts w:eastAsia="Times New Roman" w:cs="Times New Roman"/>
          <w:szCs w:val="28"/>
        </w:rPr>
      </w:pPr>
    </w:p>
    <w:p w:rsidR="00260A6C" w:rsidRDefault="00260A6C" w:rsidP="00A101AF">
      <w:pPr>
        <w:spacing w:after="20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60A6C" w:rsidRPr="00A101AF" w:rsidRDefault="00260A6C" w:rsidP="00A101AF">
      <w:pPr>
        <w:spacing w:after="200" w:line="240" w:lineRule="auto"/>
        <w:ind w:firstLine="567"/>
        <w:jc w:val="both"/>
        <w:rPr>
          <w:rFonts w:eastAsia="Times New Roman" w:cs="Times New Roman"/>
          <w:szCs w:val="28"/>
        </w:rPr>
      </w:pPr>
    </w:p>
    <w:sectPr w:rsidR="00260A6C" w:rsidRPr="00A10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436A"/>
    <w:multiLevelType w:val="hybridMultilevel"/>
    <w:tmpl w:val="839A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45A1"/>
    <w:multiLevelType w:val="hybridMultilevel"/>
    <w:tmpl w:val="44200250"/>
    <w:lvl w:ilvl="0" w:tplc="79620A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3"/>
    <w:rsid w:val="00260A6C"/>
    <w:rsid w:val="00310845"/>
    <w:rsid w:val="00326B79"/>
    <w:rsid w:val="00561CFF"/>
    <w:rsid w:val="006D4E64"/>
    <w:rsid w:val="009F699D"/>
    <w:rsid w:val="00A101AF"/>
    <w:rsid w:val="00A23ACA"/>
    <w:rsid w:val="00A44C81"/>
    <w:rsid w:val="00A8347A"/>
    <w:rsid w:val="00AF00C3"/>
    <w:rsid w:val="00B9393C"/>
    <w:rsid w:val="00BF54EE"/>
    <w:rsid w:val="00D81C38"/>
    <w:rsid w:val="00E15483"/>
    <w:rsid w:val="00F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E4A8"/>
  <w15:chartTrackingRefBased/>
  <w15:docId w15:val="{B0E43122-35B0-4367-B617-B9159C8D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3761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2020-09-30T06:21:00Z</dcterms:created>
  <dcterms:modified xsi:type="dcterms:W3CDTF">2020-10-08T08:42:00Z</dcterms:modified>
</cp:coreProperties>
</file>