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7B" w:rsidRPr="00962A90" w:rsidRDefault="00C8473E" w:rsidP="0038267B">
      <w:pPr>
        <w:spacing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Cs w:val="28"/>
          <w:lang w:eastAsia="uk-UA"/>
        </w:rPr>
      </w:pPr>
      <w:r>
        <w:rPr>
          <w:rFonts w:eastAsia="Times New Roman" w:cs="Times New Roman"/>
          <w:b/>
          <w:bCs/>
          <w:color w:val="FF0000"/>
          <w:kern w:val="36"/>
          <w:szCs w:val="28"/>
          <w:lang w:eastAsia="uk-UA"/>
        </w:rPr>
        <w:t>ІНФОГРАФІКА (</w:t>
      </w:r>
      <w:r w:rsidR="00962A90" w:rsidRPr="00962A90">
        <w:rPr>
          <w:rFonts w:eastAsia="Times New Roman" w:cs="Times New Roman"/>
          <w:b/>
          <w:bCs/>
          <w:color w:val="FF0000"/>
          <w:kern w:val="36"/>
          <w:szCs w:val="28"/>
          <w:lang w:eastAsia="uk-UA"/>
        </w:rPr>
        <w:t>КОНФЛІКТ ІНТЕРЕСІВ</w:t>
      </w:r>
      <w:r>
        <w:rPr>
          <w:rFonts w:eastAsia="Times New Roman" w:cs="Times New Roman"/>
          <w:b/>
          <w:bCs/>
          <w:color w:val="FF0000"/>
          <w:kern w:val="36"/>
          <w:szCs w:val="28"/>
          <w:lang w:eastAsia="uk-UA"/>
        </w:rPr>
        <w:t>)</w:t>
      </w:r>
      <w:bookmarkStart w:id="0" w:name="_GoBack"/>
      <w:bookmarkEnd w:id="0"/>
    </w:p>
    <w:p w:rsidR="0038267B" w:rsidRPr="008E57DF" w:rsidRDefault="0038267B" w:rsidP="0038267B">
      <w:pPr>
        <w:spacing w:line="240" w:lineRule="auto"/>
        <w:jc w:val="both"/>
        <w:outlineLvl w:val="0"/>
        <w:rPr>
          <w:rFonts w:eastAsia="Times New Roman" w:cs="Times New Roman"/>
          <w:bCs/>
          <w:color w:val="000000" w:themeColor="text1"/>
          <w:kern w:val="36"/>
          <w:szCs w:val="28"/>
          <w:lang w:eastAsia="uk-UA"/>
        </w:rPr>
      </w:pPr>
    </w:p>
    <w:p w:rsidR="00316CD2" w:rsidRPr="00962A90" w:rsidRDefault="0038267B" w:rsidP="00316CD2">
      <w:pPr>
        <w:spacing w:line="600" w:lineRule="atLeast"/>
        <w:outlineLvl w:val="0"/>
        <w:rPr>
          <w:rFonts w:eastAsia="Times New Roman" w:cs="Times New Roman"/>
          <w:b/>
          <w:bCs/>
          <w:i/>
          <w:color w:val="FF0000"/>
          <w:kern w:val="36"/>
          <w:szCs w:val="28"/>
          <w:lang w:eastAsia="uk-UA"/>
        </w:rPr>
      </w:pPr>
      <w:r w:rsidRPr="00962A90">
        <w:rPr>
          <w:rFonts w:eastAsia="Times New Roman" w:cs="Times New Roman"/>
          <w:b/>
          <w:bCs/>
          <w:i/>
          <w:color w:val="FF0000"/>
          <w:kern w:val="36"/>
          <w:szCs w:val="28"/>
          <w:lang w:eastAsia="uk-UA"/>
        </w:rPr>
        <w:t>1.</w:t>
      </w:r>
      <w:r w:rsidR="00316CD2" w:rsidRPr="00962A90">
        <w:rPr>
          <w:rFonts w:eastAsia="Times New Roman" w:cs="Times New Roman"/>
          <w:b/>
          <w:bCs/>
          <w:i/>
          <w:color w:val="FF0000"/>
          <w:kern w:val="36"/>
          <w:szCs w:val="28"/>
          <w:lang w:eastAsia="uk-UA"/>
        </w:rPr>
        <w:t>Конфлікт інтересів та його складові</w:t>
      </w:r>
    </w:p>
    <w:p w:rsidR="00316CD2" w:rsidRPr="008E57DF" w:rsidRDefault="00316CD2" w:rsidP="00316CD2">
      <w:pPr>
        <w:spacing w:line="240" w:lineRule="atLeast"/>
        <w:jc w:val="right"/>
        <w:rPr>
          <w:rFonts w:eastAsia="Times New Roman" w:cs="Times New Roman"/>
          <w:color w:val="234463"/>
          <w:szCs w:val="28"/>
          <w:lang w:eastAsia="uk-UA"/>
        </w:rPr>
      </w:pPr>
    </w:p>
    <w:p w:rsidR="00316CD2" w:rsidRPr="008E57DF" w:rsidRDefault="00316CD2" w:rsidP="00316CD2">
      <w:pPr>
        <w:spacing w:line="450" w:lineRule="atLeast"/>
        <w:jc w:val="both"/>
        <w:rPr>
          <w:rFonts w:eastAsia="Times New Roman" w:cs="Times New Roman"/>
          <w:color w:val="1A1A22"/>
          <w:szCs w:val="28"/>
          <w:lang w:eastAsia="uk-UA"/>
        </w:rPr>
      </w:pPr>
    </w:p>
    <w:p w:rsidR="008E57DF" w:rsidRDefault="00316CD2" w:rsidP="00316CD2">
      <w:pPr>
        <w:spacing w:line="450" w:lineRule="atLeast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noProof/>
          <w:color w:val="1A1A22"/>
          <w:szCs w:val="28"/>
          <w:lang w:eastAsia="uk-UA"/>
        </w:rPr>
        <w:drawing>
          <wp:inline distT="0" distB="0" distL="0" distR="0" wp14:anchorId="4000FB82">
            <wp:extent cx="5876925" cy="25241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6CD2" w:rsidRPr="008E57DF" w:rsidRDefault="00316CD2" w:rsidP="008E57DF">
      <w:pPr>
        <w:spacing w:line="240" w:lineRule="auto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color w:val="1A1A22"/>
          <w:szCs w:val="28"/>
          <w:lang w:eastAsia="uk-UA"/>
        </w:rPr>
        <w:t>Приватним інтересом може вважатися будь-який як майновий, так і немайновий інтерес.</w:t>
      </w:r>
    </w:p>
    <w:p w:rsidR="00316CD2" w:rsidRPr="008E57DF" w:rsidRDefault="00316CD2" w:rsidP="00316CD2">
      <w:pPr>
        <w:spacing w:line="450" w:lineRule="atLeast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noProof/>
          <w:color w:val="1A1A22"/>
          <w:szCs w:val="28"/>
          <w:lang w:eastAsia="uk-UA"/>
        </w:rPr>
        <w:drawing>
          <wp:inline distT="0" distB="0" distL="0" distR="0">
            <wp:extent cx="5591175" cy="1514475"/>
            <wp:effectExtent l="0" t="0" r="9525" b="9525"/>
            <wp:docPr id="20" name="Рисунок 20" descr="https://wiki.nazk.gov.ua/wp-content/uploads/2021/04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iki.nazk.gov.ua/wp-content/uploads/2021/04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D2" w:rsidRPr="008E57DF" w:rsidRDefault="00316CD2" w:rsidP="008E57DF">
      <w:pPr>
        <w:spacing w:line="240" w:lineRule="auto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color w:val="1A1A22"/>
          <w:szCs w:val="28"/>
          <w:lang w:eastAsia="uk-UA"/>
        </w:rPr>
        <w:t>Закон допускає необмежене коло обставин та ситуацій, що можуть свідчити про наявність приватного інтересу чи зумовлювати його виникнення за певних умов.</w:t>
      </w:r>
    </w:p>
    <w:p w:rsidR="00316CD2" w:rsidRPr="008E57DF" w:rsidRDefault="00316CD2" w:rsidP="008E57DF">
      <w:pPr>
        <w:spacing w:line="240" w:lineRule="auto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color w:val="1A1A22"/>
          <w:szCs w:val="28"/>
          <w:lang w:eastAsia="uk-UA"/>
        </w:rPr>
        <w:t>Приблизний перелік позаслужбових стосунків із фізичними чи юридичними особами, що можуть зумовлювати виникнення приватного інтересу:</w:t>
      </w:r>
    </w:p>
    <w:p w:rsidR="00316CD2" w:rsidRPr="008E57DF" w:rsidRDefault="00316CD2" w:rsidP="00316CD2">
      <w:pPr>
        <w:spacing w:line="450" w:lineRule="atLeast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noProof/>
          <w:color w:val="1A1A22"/>
          <w:szCs w:val="28"/>
          <w:lang w:eastAsia="uk-UA"/>
        </w:rPr>
        <w:drawing>
          <wp:inline distT="0" distB="0" distL="0" distR="0">
            <wp:extent cx="4629150" cy="2171700"/>
            <wp:effectExtent l="0" t="0" r="0" b="0"/>
            <wp:docPr id="19" name="Рисунок 19" descr="https://wiki.nazk.gov.ua/wp-content/uploads/2020/1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iki.nazk.gov.ua/wp-content/uploads/2020/11/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892" w:rsidRDefault="00316CD2" w:rsidP="008E57DF">
      <w:pPr>
        <w:spacing w:line="240" w:lineRule="auto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962A90">
        <w:rPr>
          <w:rFonts w:eastAsia="Times New Roman" w:cs="Times New Roman"/>
          <w:b/>
          <w:bCs/>
          <w:color w:val="FF0000"/>
          <w:szCs w:val="28"/>
          <w:lang w:eastAsia="uk-UA"/>
        </w:rPr>
        <w:t>Зверніть увагу</w:t>
      </w:r>
      <w:r w:rsidR="00BF1AB0">
        <w:rPr>
          <w:rFonts w:eastAsia="Times New Roman" w:cs="Times New Roman"/>
          <w:b/>
          <w:bCs/>
          <w:color w:val="FF0000"/>
          <w:szCs w:val="28"/>
          <w:lang w:eastAsia="uk-UA"/>
        </w:rPr>
        <w:t>!</w:t>
      </w:r>
      <w:r w:rsidR="00BF1AB0">
        <w:rPr>
          <w:rFonts w:eastAsia="Times New Roman" w:cs="Times New Roman"/>
          <w:b/>
          <w:bCs/>
          <w:color w:val="1A1A22"/>
          <w:szCs w:val="28"/>
          <w:lang w:eastAsia="uk-UA"/>
        </w:rPr>
        <w:t xml:space="preserve"> </w:t>
      </w:r>
      <w:r w:rsidRPr="008E57DF">
        <w:rPr>
          <w:rFonts w:eastAsia="Times New Roman" w:cs="Times New Roman"/>
          <w:color w:val="1A1A22"/>
          <w:szCs w:val="28"/>
          <w:lang w:eastAsia="uk-UA"/>
        </w:rPr>
        <w:t xml:space="preserve">При вирішенні питання щодо наявності приватного інтересу у сфері службових повноважень як складової конфлікту інтересів слід у кожному випадку враховувати конкретні обставини, відносини та зв’язки особи, обсяг її </w:t>
      </w:r>
    </w:p>
    <w:p w:rsidR="00915892" w:rsidRDefault="00915892" w:rsidP="008E57DF">
      <w:pPr>
        <w:spacing w:line="240" w:lineRule="auto"/>
        <w:jc w:val="both"/>
        <w:rPr>
          <w:rFonts w:eastAsia="Times New Roman" w:cs="Times New Roman"/>
          <w:color w:val="1A1A22"/>
          <w:szCs w:val="28"/>
          <w:lang w:eastAsia="uk-UA"/>
        </w:rPr>
      </w:pPr>
    </w:p>
    <w:p w:rsidR="00316CD2" w:rsidRPr="008E57DF" w:rsidRDefault="00316CD2" w:rsidP="00915892">
      <w:pPr>
        <w:spacing w:line="240" w:lineRule="auto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color w:val="1A1A22"/>
          <w:szCs w:val="28"/>
          <w:lang w:eastAsia="uk-UA"/>
        </w:rPr>
        <w:lastRenderedPageBreak/>
        <w:t>службових/представницьких повноважень під час прийняття того чи іншого рішення.</w:t>
      </w:r>
    </w:p>
    <w:p w:rsidR="00316CD2" w:rsidRPr="008E57DF" w:rsidRDefault="00316CD2" w:rsidP="00316CD2">
      <w:pPr>
        <w:spacing w:line="450" w:lineRule="atLeast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color w:val="1A1A22"/>
          <w:szCs w:val="28"/>
          <w:lang w:eastAsia="uk-UA"/>
        </w:rPr>
        <w:t> </w:t>
      </w:r>
    </w:p>
    <w:p w:rsidR="00316CD2" w:rsidRPr="008E57DF" w:rsidRDefault="00316CD2" w:rsidP="00316CD2">
      <w:pPr>
        <w:spacing w:line="450" w:lineRule="atLeast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noProof/>
          <w:color w:val="1A1A22"/>
          <w:szCs w:val="28"/>
          <w:lang w:eastAsia="uk-UA"/>
        </w:rPr>
        <w:drawing>
          <wp:inline distT="0" distB="0" distL="0" distR="0">
            <wp:extent cx="4943475" cy="2162175"/>
            <wp:effectExtent l="0" t="0" r="9525" b="9525"/>
            <wp:docPr id="3" name="Рисунок 3" descr="https://wiki.nazk.gov.ua/wp-content/uploads/2021/02/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iki.nazk.gov.ua/wp-content/uploads/2021/02/2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CD2" w:rsidRPr="008E57DF" w:rsidRDefault="00316CD2" w:rsidP="008E57DF">
      <w:pPr>
        <w:spacing w:line="240" w:lineRule="auto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color w:val="1A1A22"/>
          <w:szCs w:val="28"/>
          <w:lang w:eastAsia="uk-UA"/>
        </w:rPr>
        <w:t>Так, при потенційному конфлікті інтересів у особи наявний приватний інтерес у сфері, в якій вона виконує свої службові/представницькі повноваження. Така ситуація надалі впливатиме на об’єктивність особи під час реалізації повноважень.</w:t>
      </w:r>
    </w:p>
    <w:p w:rsidR="00B70EC3" w:rsidRPr="008E57DF" w:rsidRDefault="00316CD2" w:rsidP="008E57DF">
      <w:pPr>
        <w:spacing w:line="240" w:lineRule="auto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color w:val="1A1A22"/>
          <w:szCs w:val="28"/>
          <w:lang w:eastAsia="uk-UA"/>
        </w:rPr>
        <w:t>При реальному конфлікті інтересів особа реалізує (повинна реалізувати) свої повноваження у сфері, де наявний приватний інтерес. Це викликає суперечність між повноваженнями і приватним інтересом, яка впливає на об’єктивність вчинення дій чи прийняття рішень.</w:t>
      </w:r>
    </w:p>
    <w:p w:rsidR="00B70EC3" w:rsidRPr="008E57DF" w:rsidRDefault="00B70EC3" w:rsidP="008E57DF">
      <w:pPr>
        <w:pStyle w:val="a6"/>
        <w:spacing w:before="0" w:beforeAutospacing="0" w:after="0" w:afterAutospacing="0"/>
        <w:jc w:val="both"/>
        <w:rPr>
          <w:noProof/>
          <w:color w:val="1A1A22"/>
          <w:sz w:val="28"/>
          <w:szCs w:val="28"/>
        </w:rPr>
      </w:pPr>
      <w:r w:rsidRPr="008E57DF">
        <w:rPr>
          <w:color w:val="1A1A22"/>
          <w:sz w:val="28"/>
          <w:szCs w:val="28"/>
        </w:rPr>
        <w:t>Якщо особа має сумнів щодо наявності в неї конфлікту інтересів, вона має право звернутися за роз’ясненням до Національного агентства</w:t>
      </w:r>
      <w:r w:rsidR="0038267B" w:rsidRPr="008E57DF">
        <w:rPr>
          <w:color w:val="1A1A22"/>
          <w:sz w:val="28"/>
          <w:szCs w:val="28"/>
        </w:rPr>
        <w:t xml:space="preserve"> з питань запобігання корупції</w:t>
      </w:r>
      <w:r w:rsidRPr="008E57DF">
        <w:rPr>
          <w:color w:val="1A1A22"/>
          <w:sz w:val="28"/>
          <w:szCs w:val="28"/>
        </w:rPr>
        <w:t xml:space="preserve">. </w:t>
      </w:r>
    </w:p>
    <w:p w:rsidR="0038267B" w:rsidRPr="008E57DF" w:rsidRDefault="0038267B" w:rsidP="00B70EC3">
      <w:pPr>
        <w:pStyle w:val="a6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 w:rsidRPr="008E57DF">
        <w:rPr>
          <w:noProof/>
          <w:color w:val="1A1A22"/>
          <w:sz w:val="28"/>
          <w:szCs w:val="28"/>
        </w:rPr>
        <w:drawing>
          <wp:inline distT="0" distB="0" distL="0" distR="0" wp14:anchorId="684653AA" wp14:editId="6D049053">
            <wp:extent cx="5143500" cy="2943225"/>
            <wp:effectExtent l="0" t="0" r="0" b="9525"/>
            <wp:docPr id="35" name="Рисунок 35" descr="https://wiki.nazk.gov.ua/wp-content/uploads/2020/11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iki.nazk.gov.ua/wp-content/uploads/2020/11/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C3" w:rsidRPr="008E57DF" w:rsidRDefault="00BF1AB0" w:rsidP="008E57DF">
      <w:pPr>
        <w:pStyle w:val="a6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>
        <w:rPr>
          <w:rStyle w:val="a8"/>
          <w:color w:val="FF0000"/>
          <w:sz w:val="28"/>
          <w:szCs w:val="28"/>
        </w:rPr>
        <w:t>Зверніть увагу!</w:t>
      </w:r>
      <w:r w:rsidR="0038267B" w:rsidRPr="00962A90">
        <w:rPr>
          <w:rStyle w:val="a8"/>
          <w:color w:val="FF0000"/>
          <w:sz w:val="28"/>
          <w:szCs w:val="28"/>
        </w:rPr>
        <w:t xml:space="preserve"> </w:t>
      </w:r>
      <w:r w:rsidR="00B70EC3" w:rsidRPr="008E57DF">
        <w:rPr>
          <w:color w:val="1A1A22"/>
          <w:sz w:val="28"/>
          <w:szCs w:val="28"/>
        </w:rPr>
        <w:t>Правом на отримання роз’яснення наділені саме особи, які мають сумніви щодо наявності у них конфлікту інтересів, а не будь-які особи.</w:t>
      </w:r>
    </w:p>
    <w:p w:rsidR="00B70EC3" w:rsidRPr="008E57DF" w:rsidRDefault="00B70EC3" w:rsidP="008E57DF">
      <w:pPr>
        <w:pStyle w:val="a6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 w:rsidRPr="008E57DF">
        <w:rPr>
          <w:color w:val="1A1A22"/>
          <w:sz w:val="28"/>
          <w:szCs w:val="28"/>
        </w:rPr>
        <w:t>Для     отримання     максимально     чіткого     роз’яснення     у    зверненні до Національного агентства варто зазначати інформацію, що розкриває зміст повноважень, приватного інтересу та ситуації (дії/рішення), стосовно якої (яких) є сумніви щодо наявності конфлікту інтересів, а також додавати відповідні документи.</w:t>
      </w:r>
    </w:p>
    <w:p w:rsidR="00B70EC3" w:rsidRPr="00962A90" w:rsidRDefault="00B70EC3" w:rsidP="008E57DF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62A90">
        <w:rPr>
          <w:rStyle w:val="a8"/>
          <w:color w:val="FF0000"/>
          <w:sz w:val="28"/>
          <w:szCs w:val="28"/>
        </w:rPr>
        <w:t>Експрес-тест на виявлення конфлікту інтересів</w:t>
      </w:r>
    </w:p>
    <w:p w:rsidR="00B70EC3" w:rsidRPr="008E57DF" w:rsidRDefault="00B70EC3" w:rsidP="00B70EC3">
      <w:pPr>
        <w:pStyle w:val="a6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 w:rsidRPr="008E57DF">
        <w:rPr>
          <w:noProof/>
          <w:color w:val="1A1A22"/>
          <w:sz w:val="28"/>
          <w:szCs w:val="28"/>
        </w:rPr>
        <w:lastRenderedPageBreak/>
        <w:drawing>
          <wp:inline distT="0" distB="0" distL="0" distR="0">
            <wp:extent cx="5829300" cy="5715000"/>
            <wp:effectExtent l="0" t="0" r="0" b="0"/>
            <wp:docPr id="34" name="Рисунок 34" descr="https://wiki.nazk.gov.ua/wp-content/uploads/2020/11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iki.nazk.gov.ua/wp-content/uploads/2020/11/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C3" w:rsidRPr="008E57DF" w:rsidRDefault="00B70EC3" w:rsidP="008E57DF">
      <w:pPr>
        <w:pStyle w:val="a6"/>
        <w:spacing w:before="0" w:beforeAutospacing="0" w:after="0" w:afterAutospacing="0"/>
        <w:jc w:val="both"/>
        <w:rPr>
          <w:color w:val="1A1A22"/>
          <w:sz w:val="28"/>
          <w:szCs w:val="28"/>
        </w:rPr>
      </w:pPr>
      <w:r w:rsidRPr="008E57DF">
        <w:rPr>
          <w:color w:val="1A1A22"/>
          <w:sz w:val="28"/>
          <w:szCs w:val="28"/>
        </w:rPr>
        <w:t>Якщо особа отримала підтвердження про відсутність конфлікту інтересів, вона звільняється від відповідальності, якщо у діях, щодо яких вона зверталася за роз’ясненням, пізніше  було  виявлено  конфлікт  і</w:t>
      </w:r>
      <w:r w:rsidR="0038267B" w:rsidRPr="008E57DF">
        <w:rPr>
          <w:color w:val="1A1A22"/>
          <w:sz w:val="28"/>
          <w:szCs w:val="28"/>
        </w:rPr>
        <w:t>нтересів     (ч. 6 ст. 28 ЗУ «Про запобігання корупції»</w:t>
      </w:r>
      <w:r w:rsidRPr="008E57DF">
        <w:rPr>
          <w:color w:val="1A1A22"/>
          <w:sz w:val="28"/>
          <w:szCs w:val="28"/>
        </w:rPr>
        <w:t>).</w:t>
      </w:r>
    </w:p>
    <w:p w:rsidR="00B70EC3" w:rsidRPr="008E57DF" w:rsidRDefault="00B70EC3" w:rsidP="00316CD2">
      <w:pPr>
        <w:spacing w:line="450" w:lineRule="atLeast"/>
        <w:jc w:val="both"/>
        <w:rPr>
          <w:rFonts w:eastAsia="Times New Roman" w:cs="Times New Roman"/>
          <w:color w:val="1A1A22"/>
          <w:szCs w:val="28"/>
          <w:lang w:eastAsia="uk-UA"/>
        </w:rPr>
      </w:pPr>
    </w:p>
    <w:p w:rsidR="00B70EC3" w:rsidRPr="00962A90" w:rsidRDefault="008E57DF" w:rsidP="00B70EC3">
      <w:pPr>
        <w:spacing w:line="450" w:lineRule="atLeast"/>
        <w:jc w:val="both"/>
        <w:rPr>
          <w:rFonts w:eastAsia="Times New Roman" w:cs="Times New Roman"/>
          <w:b/>
          <w:i/>
          <w:color w:val="FF0000"/>
          <w:szCs w:val="28"/>
          <w:lang w:eastAsia="uk-UA"/>
        </w:rPr>
      </w:pPr>
      <w:r w:rsidRPr="00962A90">
        <w:rPr>
          <w:rFonts w:eastAsia="Times New Roman" w:cs="Times New Roman"/>
          <w:b/>
          <w:i/>
          <w:color w:val="FF0000"/>
          <w:szCs w:val="28"/>
          <w:lang w:eastAsia="uk-UA"/>
        </w:rPr>
        <w:t xml:space="preserve">2. </w:t>
      </w:r>
      <w:r w:rsidR="0038267B" w:rsidRPr="00962A90">
        <w:rPr>
          <w:rFonts w:eastAsia="Times New Roman" w:cs="Times New Roman"/>
          <w:b/>
          <w:i/>
          <w:color w:val="FF0000"/>
          <w:szCs w:val="28"/>
          <w:lang w:eastAsia="uk-UA"/>
        </w:rPr>
        <w:t>Повідомлення про конфлікт інтересів</w:t>
      </w:r>
      <w:r w:rsidR="00B70EC3" w:rsidRPr="00962A90">
        <w:rPr>
          <w:rFonts w:eastAsia="Times New Roman" w:cs="Times New Roman"/>
          <w:b/>
          <w:i/>
          <w:color w:val="FF0000"/>
          <w:szCs w:val="28"/>
          <w:lang w:eastAsia="uk-UA"/>
        </w:rPr>
        <w:t> </w:t>
      </w:r>
    </w:p>
    <w:p w:rsidR="00B70EC3" w:rsidRPr="008E57DF" w:rsidRDefault="00B70EC3" w:rsidP="00B70EC3">
      <w:pPr>
        <w:spacing w:line="450" w:lineRule="atLeast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noProof/>
          <w:color w:val="1A1A22"/>
          <w:szCs w:val="28"/>
          <w:lang w:eastAsia="uk-UA"/>
        </w:rPr>
        <w:drawing>
          <wp:inline distT="0" distB="0" distL="0" distR="0">
            <wp:extent cx="5857875" cy="2066925"/>
            <wp:effectExtent l="0" t="0" r="9525" b="9525"/>
            <wp:docPr id="37" name="Рисунок 37" descr="https://wiki.nazk.gov.ua/wp-content/uploads/2021/02/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iki.nazk.gov.ua/wp-content/uploads/2021/02/3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C3" w:rsidRPr="008E57DF" w:rsidRDefault="00B70EC3" w:rsidP="00B70EC3">
      <w:pPr>
        <w:spacing w:line="450" w:lineRule="atLeast"/>
        <w:jc w:val="both"/>
        <w:rPr>
          <w:rFonts w:eastAsia="Times New Roman" w:cs="Times New Roman"/>
          <w:color w:val="1A1A22"/>
          <w:szCs w:val="28"/>
          <w:lang w:eastAsia="uk-UA"/>
        </w:rPr>
      </w:pPr>
    </w:p>
    <w:p w:rsidR="00B70EC3" w:rsidRPr="008E57DF" w:rsidRDefault="00B70EC3" w:rsidP="00316CD2">
      <w:pPr>
        <w:spacing w:line="450" w:lineRule="atLeast"/>
        <w:jc w:val="both"/>
        <w:rPr>
          <w:rFonts w:eastAsia="Times New Roman" w:cs="Times New Roman"/>
          <w:color w:val="1A1A22"/>
          <w:szCs w:val="28"/>
          <w:lang w:eastAsia="uk-UA"/>
        </w:rPr>
      </w:pPr>
    </w:p>
    <w:p w:rsidR="00B70EC3" w:rsidRPr="008E57DF" w:rsidRDefault="008E57DF" w:rsidP="00B70EC3">
      <w:pPr>
        <w:spacing w:line="450" w:lineRule="atLeast"/>
        <w:outlineLvl w:val="1"/>
        <w:rPr>
          <w:rFonts w:eastAsia="Times New Roman" w:cs="Times New Roman"/>
          <w:b/>
          <w:color w:val="1A1A22"/>
          <w:szCs w:val="28"/>
          <w:lang w:eastAsia="uk-UA"/>
        </w:rPr>
      </w:pPr>
      <w:r w:rsidRPr="00962A90">
        <w:rPr>
          <w:rFonts w:eastAsia="Times New Roman" w:cs="Times New Roman"/>
          <w:b/>
          <w:i/>
          <w:color w:val="FF0000"/>
          <w:szCs w:val="28"/>
          <w:lang w:eastAsia="uk-UA"/>
        </w:rPr>
        <w:lastRenderedPageBreak/>
        <w:t xml:space="preserve">3. Алгоритм дій при конфлікті інтересів </w:t>
      </w:r>
      <w:r w:rsidRPr="008E57DF">
        <w:rPr>
          <w:rFonts w:eastAsia="Times New Roman" w:cs="Times New Roman"/>
          <w:noProof/>
          <w:color w:val="1A1A22"/>
          <w:szCs w:val="28"/>
          <w:lang w:eastAsia="uk-UA"/>
        </w:rPr>
        <w:drawing>
          <wp:inline distT="0" distB="0" distL="0" distR="0" wp14:anchorId="397BD5F0" wp14:editId="5ECB19E6">
            <wp:extent cx="5895975" cy="2247900"/>
            <wp:effectExtent l="0" t="0" r="9525" b="0"/>
            <wp:docPr id="41" name="Рисунок 41" descr="https://wiki.nazk.gov.ua/wp-content/uploads/2021/02/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iki.nazk.gov.ua/wp-content/uploads/2021/02/3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60" cy="225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EC3" w:rsidRPr="008E57DF">
        <w:rPr>
          <w:rFonts w:eastAsia="Times New Roman" w:cs="Times New Roman"/>
          <w:b/>
          <w:color w:val="1A1A22"/>
          <w:szCs w:val="28"/>
          <w:lang w:eastAsia="uk-UA"/>
        </w:rPr>
        <w:t> </w:t>
      </w:r>
      <w:r w:rsidR="00B70EC3" w:rsidRPr="008E57DF">
        <w:rPr>
          <w:rFonts w:eastAsia="Times New Roman" w:cs="Times New Roman"/>
          <w:b/>
          <w:noProof/>
          <w:color w:val="39CA2D"/>
          <w:szCs w:val="28"/>
          <w:lang w:eastAsia="uk-UA"/>
        </w:rPr>
        <mc:AlternateContent>
          <mc:Choice Requires="wps">
            <w:drawing>
              <wp:inline distT="0" distB="0" distL="0" distR="0" wp14:anchorId="5B6A1298" wp14:editId="0F58419D">
                <wp:extent cx="304800" cy="304800"/>
                <wp:effectExtent l="0" t="0" r="0" b="0"/>
                <wp:docPr id="43" name="Прямокутник 43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4AC51" id="Прямокутник 43" o:spid="_x0000_s1026" alt="Чинна публікаці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op+gIAAO4FAAAOAAAAZHJzL2Uyb0RvYy54bWysVM1u1DAQviPxDpbvaZJtdruJmlbt/iCk&#10;ApUKD+BNnI1FYgfbbVoQEqIS19565ci13FCh8ArJGzF2dtvd9oIAR7Lsmck3f59ne/e0LNAJlYoJ&#10;HmN/w8OI8kSkjM9j/Orl1BlipDThKSkEpzE+owrv7jx+tF1XEe2JXBQplQhAuIrqKsa51lXkuirJ&#10;aUnUhqgoB2UmZEk0XOXcTSWpAb0s3J7nDdxayLSSIqFKgXTcKfGOxc8ymugXWaaoRkWMITZtd2n3&#10;mdndnW0SzSWpcpYswiB/EUVJGAent1Bjogk6luwBVMkSKZTI9EYiSldkGUuozQGy8b172RzlpKI2&#10;FyiOqm7LpP4fbPL85FAilsY42MSIkxJ61HxuP7QXzY/mZ3Pdnrcfm5vmW3ONjEFKVQLVa76A5Aa+&#10;K9T8as+br8339rK5bq7aT+1le2GqWlcqAvCj6lCauqjqQCSvFeJilBM+p3uqgt4AY8DpUiSlqHNK&#10;UkjPNxDuGoa5KEBDs/qZSCFMcqyFrflpJkvjA6qJTm1rz25bS081SkC46QVDDwiQgGpxNh5ItPy5&#10;kko/oaJE5hBjCdFZcHJyoHRnujQxvriYsqIAOYkKviYAzE4CruFXozNBWDK8C71wMpwMAyfoDSZO&#10;4I3Hzt50FDiDqb/VH2+OR6Ox/9749YMoZ2lKuXGzJKYf/FnjF0+ko9QtNZUoWGrgTEhKzmejQqIT&#10;Ag9japctOWjuzNz1MGy9IJd7Kfm9wNvvhc50MNxygmnQd8Itb+h4frgfDrwgDMbT9ZQOGKf/nhKq&#10;Yxz2e33bpZWg7+Xm2fUwNxKVTMPoKVgZY6AGLGNEIsPACU/tWRNWdOeVUpjw70oB7V422vLVULRj&#10;/0ykZ0BXKYBOwDwYknDIhXyLUQ0DJ8bqzTGRFKPiKQfKh34QmAllL0F/qwcXuaqZrWoITwAqxhqj&#10;7jjS3VQ7riSb5+DJt4XhYg+eScYshc0T6qJaPC4YKjaTxQA0U2v1bq3uxvTO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mj6op&#10;+gIAAO4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F22A72" w:rsidRPr="008E57DF" w:rsidRDefault="00B70EC3" w:rsidP="00F22A72">
      <w:pPr>
        <w:spacing w:line="450" w:lineRule="atLeast"/>
        <w:jc w:val="both"/>
        <w:rPr>
          <w:rFonts w:eastAsia="Times New Roman" w:cs="Times New Roman"/>
          <w:color w:val="1A1A22"/>
          <w:szCs w:val="28"/>
          <w:lang w:eastAsia="uk-UA"/>
        </w:rPr>
      </w:pPr>
      <w:r w:rsidRPr="008E57DF">
        <w:rPr>
          <w:rFonts w:eastAsia="Times New Roman" w:cs="Times New Roman"/>
          <w:color w:val="1A1A22"/>
          <w:szCs w:val="28"/>
          <w:lang w:eastAsia="uk-UA"/>
        </w:rPr>
        <w:t> </w:t>
      </w:r>
      <w:r w:rsidRPr="008E57DF">
        <w:rPr>
          <w:rFonts w:eastAsia="Times New Roman" w:cs="Times New Roman"/>
          <w:noProof/>
          <w:color w:val="1A1A22"/>
          <w:szCs w:val="28"/>
          <w:lang w:eastAsia="uk-UA"/>
        </w:rPr>
        <w:drawing>
          <wp:inline distT="0" distB="0" distL="0" distR="0">
            <wp:extent cx="5800725" cy="6000750"/>
            <wp:effectExtent l="0" t="0" r="9525" b="0"/>
            <wp:docPr id="40" name="Рисунок 40" descr="https://wiki.nazk.gov.ua/wp-content/uploads/2021/02/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iki.nazk.gov.ua/wp-content/uploads/2021/02/4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81" w:rsidRDefault="00A44C81">
      <w:pPr>
        <w:rPr>
          <w:rFonts w:cs="Times New Roman"/>
          <w:szCs w:val="28"/>
        </w:rPr>
      </w:pPr>
    </w:p>
    <w:p w:rsidR="00D5143E" w:rsidRPr="00D5143E" w:rsidRDefault="00D5143E">
      <w:pPr>
        <w:rPr>
          <w:rFonts w:cs="Times New Roman"/>
          <w:szCs w:val="28"/>
        </w:rPr>
      </w:pPr>
      <w:r>
        <w:rPr>
          <w:rFonts w:cs="Times New Roman"/>
          <w:szCs w:val="28"/>
        </w:rPr>
        <w:t>Ознайомитись з роз</w:t>
      </w:r>
      <w:r w:rsidRPr="00D5143E">
        <w:rPr>
          <w:rFonts w:cs="Times New Roman"/>
          <w:szCs w:val="28"/>
          <w:lang w:val="ru-RU"/>
        </w:rPr>
        <w:t>’</w:t>
      </w:r>
      <w:proofErr w:type="spellStart"/>
      <w:r>
        <w:rPr>
          <w:rFonts w:cs="Times New Roman"/>
          <w:szCs w:val="28"/>
        </w:rPr>
        <w:t>ясненнями</w:t>
      </w:r>
      <w:proofErr w:type="spellEnd"/>
      <w:r>
        <w:rPr>
          <w:rFonts w:cs="Times New Roman"/>
          <w:szCs w:val="28"/>
        </w:rPr>
        <w:t xml:space="preserve"> Національного агентства з питань запобігання корупції можна за посиланням </w:t>
      </w:r>
      <w:hyperlink r:id="rId15" w:history="1">
        <w:r w:rsidRPr="00A13098">
          <w:rPr>
            <w:rStyle w:val="a5"/>
            <w:rFonts w:cs="Times New Roman"/>
            <w:szCs w:val="28"/>
          </w:rPr>
          <w:t>https://wiki.nazk.gov.ua/category/konflikt-interesiv/</w:t>
        </w:r>
      </w:hyperlink>
      <w:r>
        <w:rPr>
          <w:rFonts w:cs="Times New Roman"/>
          <w:szCs w:val="28"/>
        </w:rPr>
        <w:t xml:space="preserve">  </w:t>
      </w:r>
    </w:p>
    <w:sectPr w:rsidR="00D5143E" w:rsidRPr="00D5143E" w:rsidSect="0038267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18E9"/>
    <w:multiLevelType w:val="multilevel"/>
    <w:tmpl w:val="BD10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17C79"/>
    <w:multiLevelType w:val="multilevel"/>
    <w:tmpl w:val="FC4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26D19"/>
    <w:multiLevelType w:val="multilevel"/>
    <w:tmpl w:val="2FF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CC"/>
    <w:rsid w:val="00316CD2"/>
    <w:rsid w:val="0038267B"/>
    <w:rsid w:val="004B05CC"/>
    <w:rsid w:val="008D39F7"/>
    <w:rsid w:val="008E57DF"/>
    <w:rsid w:val="00915892"/>
    <w:rsid w:val="00962A90"/>
    <w:rsid w:val="00A44C81"/>
    <w:rsid w:val="00A8347A"/>
    <w:rsid w:val="00AF00C3"/>
    <w:rsid w:val="00B70EC3"/>
    <w:rsid w:val="00BF1AB0"/>
    <w:rsid w:val="00C8473E"/>
    <w:rsid w:val="00CE1165"/>
    <w:rsid w:val="00D5143E"/>
    <w:rsid w:val="00EC30BD"/>
    <w:rsid w:val="00F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0534"/>
  <w15:chartTrackingRefBased/>
  <w15:docId w15:val="{452FC363-35F1-4A5D-A4DB-36C56802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C3"/>
  </w:style>
  <w:style w:type="paragraph" w:styleId="1">
    <w:name w:val="heading 1"/>
    <w:basedOn w:val="a"/>
    <w:link w:val="10"/>
    <w:uiPriority w:val="9"/>
    <w:qFormat/>
    <w:rsid w:val="00316C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316CD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16CD2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16CD2"/>
    <w:rPr>
      <w:rFonts w:eastAsia="Times New Roman" w:cs="Times New Roman"/>
      <w:b/>
      <w:bCs/>
      <w:sz w:val="36"/>
      <w:szCs w:val="36"/>
      <w:lang w:eastAsia="uk-UA"/>
    </w:rPr>
  </w:style>
  <w:style w:type="character" w:styleId="a5">
    <w:name w:val="Hyperlink"/>
    <w:basedOn w:val="a0"/>
    <w:uiPriority w:val="99"/>
    <w:unhideWhenUsed/>
    <w:rsid w:val="00316C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16C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a7">
    <w:name w:val="a"/>
    <w:basedOn w:val="a"/>
    <w:rsid w:val="00316C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316CD2"/>
    <w:rPr>
      <w:b/>
      <w:bCs/>
    </w:rPr>
  </w:style>
  <w:style w:type="character" w:styleId="a9">
    <w:name w:val="Emphasis"/>
    <w:basedOn w:val="a0"/>
    <w:uiPriority w:val="20"/>
    <w:qFormat/>
    <w:rsid w:val="00316CD2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3826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158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1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400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165162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404200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879312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420740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847574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204158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2534595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613711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840952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iki.nazk.gov.ua/category/konflikt-interesiv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F40B-BA33-452F-8569-A1B6E8EB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2021-08-09T13:02:00Z</cp:lastPrinted>
  <dcterms:created xsi:type="dcterms:W3CDTF">2021-08-18T12:34:00Z</dcterms:created>
  <dcterms:modified xsi:type="dcterms:W3CDTF">2021-08-27T06:38:00Z</dcterms:modified>
</cp:coreProperties>
</file>